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</w:rPr>
        <w:t xml:space="preserve">Паспорт инвестиционной площадки </w:t>
      </w:r>
    </w:p>
    <w:p>
      <w:pPr>
        <w:pStyle w:val="Normal"/>
        <w:jc w:val="center"/>
        <w:rPr/>
      </w:pPr>
      <w:r>
        <w:rPr>
          <w:b/>
          <w:sz w:val="28"/>
        </w:rPr>
        <w:t>Этнокультурный комплекс «Мэнэдек»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Style_3"/>
        <w:tblW w:w="953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50"/>
        <w:gridCol w:w="5575"/>
      </w:tblGrid>
      <w:tr>
        <w:trPr>
          <w:trHeight w:val="182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3"/>
              </w:rPr>
            </w:pPr>
            <w:r>
              <w:rPr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i/>
                <w:i/>
                <w:sz w:val="23"/>
              </w:rPr>
            </w:pPr>
            <w:r>
              <w:rPr>
                <w:i/>
                <w:sz w:val="24"/>
                <w:szCs w:val="24"/>
              </w:rPr>
              <w:t>Анавгайское сельское поселение Быстринского муниципального района Камчатского края</w:t>
            </w:r>
          </w:p>
        </w:tc>
      </w:tr>
      <w:tr>
        <w:trPr>
          <w:trHeight w:val="210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3"/>
              </w:rPr>
            </w:pPr>
            <w:r>
              <w:rPr>
                <w:sz w:val="24"/>
                <w:szCs w:val="24"/>
              </w:rPr>
              <w:t xml:space="preserve">Название площадки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3"/>
              </w:rPr>
            </w:pPr>
            <w:r>
              <w:rPr>
                <w:i/>
                <w:sz w:val="24"/>
                <w:szCs w:val="24"/>
              </w:rPr>
              <w:t>Этнокультурный комплекс "Мэнэдек"</w:t>
            </w:r>
          </w:p>
        </w:tc>
      </w:tr>
      <w:tr>
        <w:trPr>
          <w:trHeight w:val="166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3"/>
              </w:rPr>
            </w:pPr>
            <w:r>
              <w:rPr>
                <w:sz w:val="24"/>
                <w:szCs w:val="24"/>
              </w:rPr>
              <w:t>Тип площадки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3"/>
              </w:rPr>
            </w:pPr>
            <w:r>
              <w:rPr>
                <w:i/>
                <w:sz w:val="24"/>
                <w:szCs w:val="24"/>
              </w:rPr>
              <w:t>Модернизация, реконструкция</w:t>
            </w:r>
          </w:p>
        </w:tc>
      </w:tr>
      <w:tr>
        <w:trPr>
          <w:trHeight w:val="305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3"/>
              </w:rPr>
            </w:pPr>
            <w:r>
              <w:rPr>
                <w:sz w:val="24"/>
                <w:szCs w:val="24"/>
              </w:rPr>
              <w:t>Описание площадки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3"/>
              </w:rPr>
            </w:pPr>
            <w:r>
              <w:rPr>
                <w:i/>
                <w:sz w:val="24"/>
                <w:szCs w:val="24"/>
              </w:rPr>
              <w:t>Расположена на 2-х надпойменных участках с перепадом 1,5 м., рельеф ровный, редкая тундровая растительность, с преобладанием березы, надпойменная терраса, возле речки тальник, грунты и воды не изучены, 50 м. от береговой черты р. Анавгай. Ограничения – участок находится водоохраной зоне – не допускается капитальное строительство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234" w:hRule="atLeast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  <w:t>Основные сведения о площадке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>Предприятие (</w:t>
            </w:r>
            <w:r>
              <w:rPr>
                <w:i/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>) – владелец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учреждение культуры «Этнографический культурный центр «Мэнэдек»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3"/>
                <w:szCs w:val="24"/>
              </w:rPr>
              <w:t>684355, Камчатский край, Быстринский район, с. Анавгай, ул. Советская, д. 4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  <w:p>
            <w:pPr>
              <w:pStyle w:val="Normal"/>
              <w:rPr>
                <w:sz w:val="23"/>
              </w:rPr>
            </w:pPr>
            <w:r>
              <w:rPr>
                <w:i/>
                <w:sz w:val="24"/>
                <w:szCs w:val="24"/>
              </w:rPr>
              <w:t>(должность, Ф.И.О.)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Адуканов Владимир Александрович, </w:t>
            </w:r>
            <w:r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лава Анавгайско</w:t>
            </w:r>
            <w:r>
              <w:rPr>
                <w:i/>
                <w:sz w:val="24"/>
                <w:szCs w:val="24"/>
              </w:rPr>
              <w:t>го</w:t>
            </w:r>
            <w:r>
              <w:rPr>
                <w:i/>
                <w:sz w:val="24"/>
                <w:szCs w:val="24"/>
              </w:rPr>
              <w:t xml:space="preserve"> сельское поселения.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Кучеренко Диана Кирьяковна, директор МБУК ЭКЦ "МЭНЭДЕК"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>Телефон, e-mail контактного лица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Анавгайского сельского поселения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E-mail: </w:t>
            </w:r>
            <w:hyperlink r:id="rId2">
              <w:r>
                <w:rPr>
                  <w:rStyle w:val="Style9"/>
                  <w:i/>
                  <w:sz w:val="24"/>
                  <w:szCs w:val="24"/>
                </w:rPr>
                <w:t>admanavgai@mail.ru</w:t>
              </w:r>
            </w:hyperlink>
            <w:r>
              <w:rPr>
                <w:i/>
                <w:sz w:val="24"/>
                <w:szCs w:val="24"/>
              </w:rPr>
              <w:t xml:space="preserve">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елефон: </w:t>
            </w:r>
            <w:r>
              <w:rPr>
                <w:i/>
                <w:sz w:val="24"/>
                <w:szCs w:val="24"/>
              </w:rPr>
              <w:t xml:space="preserve">8 </w:t>
            </w:r>
            <w:r>
              <w:rPr>
                <w:i/>
                <w:sz w:val="24"/>
                <w:szCs w:val="24"/>
              </w:rPr>
              <w:t>(415-42) 23-231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МБУК ЭКЦ "МЭНЭДЕК": </w:t>
            </w:r>
            <w:r>
              <w:rPr>
                <w:i/>
                <w:sz w:val="24"/>
                <w:szCs w:val="24"/>
              </w:rPr>
              <w:t>+7 (41542) 23-243,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E-mail: menedek@mail.ru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i/>
                <w:sz w:val="24"/>
                <w:szCs w:val="24"/>
              </w:rPr>
              <w:t>(м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или га)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sz w:val="23"/>
              </w:rPr>
            </w:pPr>
            <w:r>
              <w:rPr>
                <w:i/>
                <w:sz w:val="24"/>
                <w:szCs w:val="24"/>
              </w:rPr>
              <w:t xml:space="preserve">Выделен земельный участок площадью 3 Га вдоль реки Анавгай  на бывшей территории совхоза "Анавгайский". В настоящий момент проводится процедура оформления запрашиваемого земельного участка площадью 12 Га. 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Форма владения землей и зданиями </w:t>
            </w:r>
            <w:r>
              <w:rPr>
                <w:i/>
                <w:sz w:val="24"/>
                <w:szCs w:val="24"/>
              </w:rPr>
              <w:t>(собственность, аренда, другая)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sz w:val="23"/>
              </w:rPr>
            </w:pPr>
            <w:r>
              <w:rPr>
                <w:i/>
                <w:sz w:val="24"/>
                <w:szCs w:val="24"/>
              </w:rPr>
              <w:t>Земельный участок планируется выделить в бессрочное пользование (муниципальная собственность) и перевести из земель сельхозназначения в другую категорию.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i/>
                <w:sz w:val="24"/>
                <w:szCs w:val="24"/>
              </w:rPr>
              <w:t>Да</w:t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Ближайшие производственные объекты </w:t>
            </w:r>
            <w:r>
              <w:rPr>
                <w:i/>
                <w:sz w:val="24"/>
                <w:szCs w:val="24"/>
              </w:rPr>
              <w:t>(промышленные, сельскохозяйственные, иные)</w:t>
            </w:r>
            <w:r>
              <w:rPr>
                <w:sz w:val="24"/>
                <w:szCs w:val="24"/>
              </w:rPr>
              <w:t xml:space="preserve"> и расстояние до них </w:t>
            </w:r>
            <w:r>
              <w:rPr>
                <w:i/>
                <w:sz w:val="24"/>
                <w:szCs w:val="24"/>
              </w:rPr>
              <w:t>(м. или км.)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Наличие ограждений </w:t>
            </w:r>
            <w:r>
              <w:rPr>
                <w:i/>
                <w:sz w:val="24"/>
                <w:szCs w:val="24"/>
              </w:rPr>
              <w:t>(есть, нет)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sz w:val="23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>
        <w:trPr>
          <w:trHeight w:val="234" w:hRule="atLeast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b/>
                <w:i/>
                <w:sz w:val="24"/>
                <w:szCs w:val="24"/>
              </w:rPr>
              <w:t>Удаленность участка (в км) от:</w:t>
            </w:r>
          </w:p>
        </w:tc>
      </w:tr>
      <w:tr>
        <w:trPr>
          <w:trHeight w:val="19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i/>
                <w:sz w:val="24"/>
                <w:szCs w:val="24"/>
              </w:rPr>
              <w:t xml:space="preserve">г. Петропавловск-Камчатский 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i/>
                <w:sz w:val="24"/>
                <w:szCs w:val="24"/>
              </w:rPr>
              <w:t>510 км.</w:t>
            </w:r>
          </w:p>
        </w:tc>
      </w:tr>
      <w:tr>
        <w:trPr>
          <w:trHeight w:val="243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центра другого ближайшего субъекта РФ 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ближайшего города </w:t>
            </w:r>
            <w:r>
              <w:rPr>
                <w:i/>
                <w:sz w:val="24"/>
                <w:szCs w:val="24"/>
              </w:rPr>
              <w:t>(название)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автодороги 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аэропорта </w:t>
            </w:r>
            <w:r>
              <w:rPr>
                <w:i/>
                <w:sz w:val="24"/>
                <w:szCs w:val="24"/>
              </w:rPr>
              <w:t>(название) – села Анавгай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4"/>
                <w:szCs w:val="24"/>
              </w:rPr>
              <w:t>морского порта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rFonts w:ascii="Symbol" w:hAnsi="Symbol"/>
                <w:sz w:val="24"/>
                <w:szCs w:val="24"/>
              </w:rPr>
              <w:t>¾</w:t>
            </w:r>
          </w:p>
        </w:tc>
      </w:tr>
      <w:tr>
        <w:trPr>
          <w:trHeight w:val="234" w:hRule="atLeast"/>
        </w:trPr>
        <w:tc>
          <w:tcPr>
            <w:tcW w:w="9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Характеристика инфраструктуры</w:t>
            </w:r>
          </w:p>
        </w:tc>
      </w:tr>
      <w:tr>
        <w:trPr>
          <w:trHeight w:val="234" w:hRule="atLeast"/>
        </w:trPr>
        <w:tc>
          <w:tcPr>
            <w:tcW w:w="9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газ (куб.м./час)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отопление (Гкал/час)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 (бар)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электроэнергия (кВт/час)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водоснабжение (куб.м./год)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Река Анавгай</w:t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водоотведение (куб.м./год)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очистные сооружения (куб.м./год)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котельные установки (кВт)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9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</w:tr>
      <w:tr>
        <w:trPr>
          <w:trHeight w:val="234" w:hRule="atLeast"/>
        </w:trPr>
        <w:tc>
          <w:tcPr>
            <w:tcW w:w="9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2"/>
                <w:lang w:eastAsia="en-US"/>
              </w:rPr>
            </w:pPr>
            <w:r>
              <w:rPr>
                <w:rFonts w:eastAsia="Calibri"/>
                <w:iCs/>
                <w:szCs w:val="22"/>
                <w:lang w:eastAsia="en-US"/>
              </w:rPr>
              <w:t>Наименование здания, сооружения на территории имеются:</w:t>
            </w:r>
          </w:p>
          <w:p>
            <w:pPr>
              <w:pStyle w:val="Normal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iCs/>
                <w:sz w:val="24"/>
                <w:szCs w:val="22"/>
                <w:lang w:eastAsia="en-US"/>
              </w:rPr>
              <w:t>(Административное здание, хозяйственное здание, котельная, гараж, насосная и т.д.)</w:t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площадь (кв.м.)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этажность (ед.)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высота этажа (м.)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износ (%)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Предложения по использованию площадки: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Модернизация этнографической экспозиции под открытым небом «Этнокультурного комплекса "Мэнэдек" в Анавгайском сельском поселении. Возможно долевое участие бюджетов различных уровней и частных инвестиций. Эвенское стойбище «Мэнэдек»</w:t>
            </w:r>
          </w:p>
        </w:tc>
      </w:tr>
      <w:tr>
        <w:trPr>
          <w:trHeight w:val="234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Дополнительная информация о площадке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7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При Эвенско</w:t>
            </w:r>
            <w:r>
              <w:rPr/>
              <w:t>м</w:t>
            </w:r>
            <w:r>
              <w:rPr/>
              <w:t xml:space="preserve"> стойбище «Мэнэдек» находятся: </w:t>
            </w:r>
          </w:p>
          <w:p>
            <w:pPr>
              <w:pStyle w:val="Normal"/>
              <w:widowControl/>
              <w:tabs>
                <w:tab w:val="clear" w:pos="708"/>
                <w:tab w:val="left" w:pos="17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 Эвенский национальный ансамбль «Нургэнэк»,</w:t>
            </w:r>
          </w:p>
          <w:p>
            <w:pPr>
              <w:pStyle w:val="Normal"/>
              <w:widowControl/>
              <w:tabs>
                <w:tab w:val="clear" w:pos="708"/>
                <w:tab w:val="left" w:pos="17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   Детский танцевальный коллектив «Орьякан».</w:t>
            </w:r>
          </w:p>
          <w:p>
            <w:pPr>
              <w:pStyle w:val="Normal"/>
              <w:widowControl/>
              <w:tabs>
                <w:tab w:val="clear" w:pos="708"/>
                <w:tab w:val="left" w:pos="17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Интерне-сайт: </w:t>
            </w:r>
            <w:hyperlink r:id="rId3">
              <w:r>
                <w:rPr>
                  <w:rStyle w:val="Style9"/>
                </w:rPr>
                <w:t>http://menedek.ru/</w:t>
              </w:r>
            </w:hyperlink>
          </w:p>
        </w:tc>
      </w:tr>
    </w:tbl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0" w:right="0" w:firstLine="54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851" w:footer="51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Droid Sans Fallback" w:cs="DejaVu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5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Droid Sans Fallback" w:cs="DejaVu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DejaVu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Droid Sans Fallback" w:cs="DejaVu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BalloonText">
    <w:name w:val="Balloon Text"/>
    <w:link w:val="Style_7"/>
    <w:qFormat/>
    <w:rPr>
      <w:rFonts w:ascii="Tahoma" w:hAnsi="Tahoma"/>
      <w:sz w:val="16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Heading3">
    <w:name w:val="Heading 3"/>
    <w:link w:val="Style_10"/>
    <w:qFormat/>
    <w:rPr>
      <w:rFonts w:ascii="XO Thames" w:hAnsi="XO Thames"/>
      <w:b/>
      <w:sz w:val="26"/>
    </w:rPr>
  </w:style>
  <w:style w:type="character" w:styleId="Footer">
    <w:name w:val="Footer"/>
    <w:link w:val="Style_2"/>
    <w:qFormat/>
    <w:rPr/>
  </w:style>
  <w:style w:type="character" w:styleId="Pagenumber">
    <w:name w:val="page number"/>
    <w:basedOn w:val="DefaultParagraphFont"/>
    <w:link w:val="Style_1"/>
    <w:qFormat/>
    <w:rPr/>
  </w:style>
  <w:style w:type="character" w:styleId="Contents3">
    <w:name w:val="Contents 3"/>
    <w:link w:val="Style_12"/>
    <w:qFormat/>
    <w:rPr>
      <w:rFonts w:ascii="XO Thames" w:hAnsi="XO Thames"/>
      <w:sz w:val="28"/>
    </w:rPr>
  </w:style>
  <w:style w:type="character" w:styleId="Heading5">
    <w:name w:val="Heading 5"/>
    <w:link w:val="Style_13"/>
    <w:qFormat/>
    <w:rPr>
      <w:rFonts w:ascii="XO Thames" w:hAnsi="XO Thames"/>
      <w:b/>
      <w:sz w:val="22"/>
    </w:rPr>
  </w:style>
  <w:style w:type="character" w:styleId="Heading1">
    <w:name w:val="Heading 1"/>
    <w:link w:val="Style_14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5"/>
    <w:rPr>
      <w:color w:val="0000FF"/>
      <w:u w:val="single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>
      <w:rFonts w:ascii="XO Thames" w:hAnsi="XO Thames"/>
      <w:sz w:val="28"/>
    </w:rPr>
  </w:style>
  <w:style w:type="character" w:styleId="DefaultParagraphFont">
    <w:name w:val="Default Paragraph Font"/>
    <w:link w:val="Style_11"/>
    <w:qFormat/>
    <w:rPr/>
  </w:style>
  <w:style w:type="character" w:styleId="Contents8">
    <w:name w:val="Contents 8"/>
    <w:link w:val="Style_20"/>
    <w:qFormat/>
    <w:rPr>
      <w:rFonts w:ascii="XO Thames" w:hAnsi="XO Thames"/>
      <w:sz w:val="28"/>
    </w:rPr>
  </w:style>
  <w:style w:type="character" w:styleId="Contents5">
    <w:name w:val="Contents 5"/>
    <w:link w:val="Style_21"/>
    <w:qFormat/>
    <w:rPr>
      <w:rFonts w:ascii="XO Thames" w:hAnsi="XO Thames"/>
      <w:sz w:val="28"/>
    </w:rPr>
  </w:style>
  <w:style w:type="character" w:styleId="Subtitle">
    <w:name w:val="Subtitle"/>
    <w:link w:val="Style_22"/>
    <w:qFormat/>
    <w:rPr>
      <w:rFonts w:ascii="XO Thames" w:hAnsi="XO Thames"/>
      <w:i/>
      <w:sz w:val="24"/>
    </w:rPr>
  </w:style>
  <w:style w:type="character" w:styleId="Title">
    <w:name w:val="Title"/>
    <w:link w:val="Style_23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4"/>
    <w:qFormat/>
    <w:rPr>
      <w:rFonts w:ascii="XO Thames" w:hAnsi="XO Thames"/>
      <w:b/>
      <w:sz w:val="24"/>
    </w:rPr>
  </w:style>
  <w:style w:type="character" w:styleId="Heading2">
    <w:name w:val="Heading 2"/>
    <w:link w:val="Style_25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7_ch"/>
    <w:qFormat/>
    <w:pPr/>
    <w:rPr>
      <w:rFonts w:ascii="Tahoma" w:hAnsi="Tahoma"/>
      <w:sz w:val="16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9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8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Footer"/>
    <w:basedOn w:val="Normal"/>
    <w:link w:val="Style_2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31">
    <w:name w:val="TOC 3"/>
    <w:next w:val="Normal"/>
    <w:link w:val="Style_12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Droid Sans Fallback" w:cs="DejaVu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7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19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20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1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Subtitle"/>
    <w:next w:val="Normal"/>
    <w:link w:val="Style_22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link w:val="Style_23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DejaVu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anavgai@mail.ru" TargetMode="External"/><Relationship Id="rId3" Type="http://schemas.openxmlformats.org/officeDocument/2006/relationships/hyperlink" Target="http://menedek.r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LibreOffice/6.3.6.2$Linux_X86_64 LibreOffice_project/30$Build-2</Application>
  <Pages>2</Pages>
  <Words>354</Words>
  <Characters>2728</Characters>
  <CharactersWithSpaces>3029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2022-07-13T17:22:50Z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