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Паспорт инвестиционной площадки № 3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Style_3"/>
        <w:tblW w:w="954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331"/>
        <w:gridCol w:w="381"/>
        <w:gridCol w:w="296"/>
        <w:gridCol w:w="784"/>
        <w:gridCol w:w="180"/>
        <w:gridCol w:w="211"/>
        <w:gridCol w:w="509"/>
        <w:gridCol w:w="540"/>
        <w:gridCol w:w="2118"/>
        <w:gridCol w:w="706"/>
        <w:gridCol w:w="1316"/>
      </w:tblGrid>
      <w:tr>
        <w:trPr>
          <w:trHeight w:val="182" w:hRule="atLeast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b/>
                <w:b/>
                <w:sz w:val="22"/>
              </w:rPr>
            </w:pPr>
            <w:r>
              <w:rPr>
                <w:sz w:val="22"/>
              </w:rPr>
              <w:t xml:space="preserve">Муниципальный район </w:t>
            </w:r>
          </w:p>
        </w:tc>
        <w:tc>
          <w:tcPr>
            <w:tcW w:w="7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i/>
                <w:i/>
              </w:rPr>
            </w:pPr>
            <w:r>
              <w:rPr>
                <w:i/>
              </w:rPr>
              <w:t>Быстринский муниципальный район Камчатского края</w:t>
            </w:r>
          </w:p>
        </w:tc>
      </w:tr>
      <w:tr>
        <w:trPr>
          <w:trHeight w:val="210" w:hRule="atLeast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Название площадки </w:t>
            </w:r>
          </w:p>
        </w:tc>
        <w:tc>
          <w:tcPr>
            <w:tcW w:w="7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i/>
                <w:i/>
                <w:sz w:val="22"/>
              </w:rPr>
            </w:pPr>
            <w:r>
              <w:rPr>
                <w:i/>
              </w:rPr>
              <w:t>Аквапарк с использованием термальной воды</w:t>
            </w:r>
          </w:p>
        </w:tc>
      </w:tr>
      <w:tr>
        <w:trPr>
          <w:trHeight w:val="166" w:hRule="atLeast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sz w:val="22"/>
              </w:rPr>
            </w:pPr>
            <w:r>
              <w:rPr>
                <w:sz w:val="22"/>
              </w:rPr>
              <w:t>Тип площадки</w:t>
            </w:r>
          </w:p>
        </w:tc>
        <w:tc>
          <w:tcPr>
            <w:tcW w:w="7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b/>
                <w:b/>
                <w:sz w:val="22"/>
              </w:rPr>
            </w:pPr>
            <w:r>
              <w:rPr>
                <w:i/>
              </w:rPr>
              <w:t>Новое строительство</w:t>
            </w:r>
          </w:p>
        </w:tc>
      </w:tr>
      <w:tr>
        <w:trPr>
          <w:trHeight w:val="305" w:hRule="atLeast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b/>
                <w:b/>
                <w:sz w:val="22"/>
              </w:rPr>
            </w:pPr>
            <w:r>
              <w:rPr>
                <w:sz w:val="22"/>
              </w:rPr>
              <w:t>Описание площадки</w:t>
            </w:r>
          </w:p>
        </w:tc>
        <w:tc>
          <w:tcPr>
            <w:tcW w:w="7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2912" w:leader="none"/>
              </w:tabs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234" w:hRule="atLeast"/>
        </w:trPr>
        <w:tc>
          <w:tcPr>
            <w:tcW w:w="9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/>
                <w:i/>
              </w:rPr>
              <w:t>Основные сведения о площадке</w:t>
            </w:r>
          </w:p>
        </w:tc>
      </w:tr>
      <w:tr>
        <w:trPr>
          <w:trHeight w:val="99" w:hRule="atLeast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Предприятие (</w:t>
            </w:r>
            <w:r>
              <w:rPr>
                <w:i/>
                <w:sz w:val="22"/>
              </w:rPr>
              <w:t>организация</w:t>
            </w:r>
            <w:r>
              <w:rPr>
                <w:sz w:val="22"/>
              </w:rPr>
              <w:t>) – владелец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i/>
              </w:rPr>
              <w:t>Администрация Быстринского муниципального района</w:t>
            </w:r>
          </w:p>
        </w:tc>
      </w:tr>
      <w:tr>
        <w:trPr>
          <w:trHeight w:val="99" w:hRule="atLeast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Юридический адрес 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684350, с. Эссо, Камчатский край, ул. Терешковой, 1, Факс 21-330</w:t>
            </w:r>
          </w:p>
        </w:tc>
      </w:tr>
      <w:tr>
        <w:trPr>
          <w:trHeight w:val="99" w:hRule="atLeast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Контактное лицо </w:t>
            </w:r>
            <w:r>
              <w:rPr>
                <w:i/>
                <w:sz w:val="22"/>
              </w:rPr>
              <w:t>(должность, Ф.И.О.)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Глава  Быстринского муниципального района Вьюнов Анатолий Владимирович</w:t>
            </w:r>
          </w:p>
        </w:tc>
      </w:tr>
      <w:tr>
        <w:trPr>
          <w:trHeight w:val="99" w:hRule="atLeast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Телефон, e-mail контактного лица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2"/>
              </w:rPr>
              <w:t>Тел.:  8 – 41542 – 21-</w:t>
            </w:r>
            <w:r>
              <w:rPr>
                <w:i/>
                <w:sz w:val="22"/>
              </w:rPr>
              <w:t>3</w:t>
            </w:r>
            <w:r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; E-mail: admesso@yandex.ru</w:t>
            </w:r>
          </w:p>
        </w:tc>
      </w:tr>
      <w:tr>
        <w:trPr>
          <w:trHeight w:val="99" w:hRule="atLeast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Адрес места расположения площадки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9" w:hRule="atLeast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Площадь </w:t>
            </w:r>
            <w:r>
              <w:rPr>
                <w:i/>
                <w:sz w:val="22"/>
              </w:rPr>
              <w:t>(м</w:t>
            </w:r>
            <w:r>
              <w:rPr>
                <w:i/>
                <w:sz w:val="22"/>
                <w:vertAlign w:val="superscript"/>
              </w:rPr>
              <w:t>2</w:t>
            </w:r>
            <w:r>
              <w:rPr>
                <w:i/>
                <w:sz w:val="22"/>
              </w:rPr>
              <w:t xml:space="preserve"> или га)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color w:val="000000"/>
                <w:spacing w:val="-1"/>
              </w:rPr>
              <w:t>20 га</w:t>
            </w:r>
          </w:p>
        </w:tc>
      </w:tr>
      <w:tr>
        <w:trPr>
          <w:trHeight w:val="99" w:hRule="atLeast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Форма владения землей и зданиями </w:t>
            </w:r>
            <w:r>
              <w:rPr>
                <w:i/>
                <w:sz w:val="22"/>
              </w:rPr>
              <w:t>(собственность, аренда, другая)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Муниципальная собственность, свободные земли</w:t>
            </w:r>
          </w:p>
          <w:p>
            <w:pPr>
              <w:pStyle w:val="Normal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</w:tr>
      <w:tr>
        <w:trPr>
          <w:trHeight w:val="99" w:hRule="atLeast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Возможность расширения 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9" w:hRule="atLeast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Ближайшие производственные объекты </w:t>
            </w:r>
            <w:r>
              <w:rPr>
                <w:i/>
                <w:sz w:val="22"/>
              </w:rPr>
              <w:t>(промышленные, сельскохозяйственные, иные)</w:t>
            </w:r>
            <w:r>
              <w:rPr>
                <w:sz w:val="22"/>
              </w:rPr>
              <w:t xml:space="preserve"> и расстояние до них </w:t>
            </w:r>
            <w:r>
              <w:rPr>
                <w:i/>
                <w:sz w:val="22"/>
              </w:rPr>
              <w:t>(м. или км.)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73" w:hRule="atLeast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Расстояние до ближайших жилых домов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</w:tr>
      <w:tr>
        <w:trPr>
          <w:trHeight w:val="99" w:hRule="atLeast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Наличие ограждений </w:t>
            </w:r>
            <w:r>
              <w:rPr>
                <w:i/>
                <w:sz w:val="22"/>
              </w:rPr>
              <w:t>(есть, нет)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нет</w:t>
            </w:r>
          </w:p>
        </w:tc>
      </w:tr>
      <w:tr>
        <w:trPr>
          <w:trHeight w:val="234" w:hRule="atLeast"/>
        </w:trPr>
        <w:tc>
          <w:tcPr>
            <w:tcW w:w="9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/>
                <w:i/>
              </w:rPr>
              <w:t>Удаленность участка (в км) от:</w:t>
            </w:r>
          </w:p>
        </w:tc>
      </w:tr>
      <w:tr>
        <w:trPr>
          <w:trHeight w:val="261" w:hRule="atLeast"/>
        </w:trPr>
        <w:tc>
          <w:tcPr>
            <w:tcW w:w="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/>
              <w:t>г. Петропавловск-Камчатский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i/>
              </w:rPr>
              <w:t>520 км.</w:t>
            </w:r>
          </w:p>
        </w:tc>
      </w:tr>
      <w:tr>
        <w:trPr>
          <w:trHeight w:val="243" w:hRule="atLeast"/>
        </w:trPr>
        <w:tc>
          <w:tcPr>
            <w:tcW w:w="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центра другого ближайшего субъекта РФ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34" w:hRule="atLeast"/>
        </w:trPr>
        <w:tc>
          <w:tcPr>
            <w:tcW w:w="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ближайшего города </w:t>
            </w:r>
            <w:r>
              <w:rPr>
                <w:i/>
                <w:sz w:val="25"/>
              </w:rPr>
              <w:t>(название)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34" w:hRule="atLeast"/>
        </w:trPr>
        <w:tc>
          <w:tcPr>
            <w:tcW w:w="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автодороги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43" w:hRule="atLeast"/>
        </w:trPr>
        <w:tc>
          <w:tcPr>
            <w:tcW w:w="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аэропорта </w:t>
            </w:r>
            <w:r>
              <w:rPr>
                <w:i/>
                <w:sz w:val="25"/>
              </w:rPr>
              <w:t>(название)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34" w:hRule="atLeast"/>
        </w:trPr>
        <w:tc>
          <w:tcPr>
            <w:tcW w:w="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морского порта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¾</w:t>
            </w:r>
          </w:p>
        </w:tc>
      </w:tr>
      <w:tr>
        <w:trPr>
          <w:trHeight w:val="234" w:hRule="atLeast"/>
        </w:trPr>
        <w:tc>
          <w:tcPr>
            <w:tcW w:w="9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/>
                <w:i/>
              </w:rPr>
              <w:t>Характеристика инфраструктуры</w:t>
            </w:r>
          </w:p>
        </w:tc>
      </w:tr>
      <w:tr>
        <w:trPr/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 инфраструктуры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Мощность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Описание</w:t>
            </w:r>
          </w:p>
        </w:tc>
      </w:tr>
      <w:tr>
        <w:trPr/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Газ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/час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Symbol" w:hAnsi="Symbol"/>
                <w:sz w:val="22"/>
              </w:rPr>
              <w:t>¾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Symbol" w:hAnsi="Symbol"/>
                <w:sz w:val="22"/>
              </w:rPr>
              <w:t>¾</w:t>
            </w:r>
          </w:p>
        </w:tc>
      </w:tr>
      <w:tr>
        <w:trPr/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Отопление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Гкал/час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Геотермальное, необходимо построить локальные тепловые сети</w:t>
            </w:r>
          </w:p>
        </w:tc>
      </w:tr>
      <w:tr>
        <w:trPr/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Пар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Бар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Symbol" w:hAnsi="Symbol"/>
                <w:sz w:val="22"/>
              </w:rPr>
              <w:t>¾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Symbol" w:hAnsi="Symbol"/>
                <w:sz w:val="22"/>
              </w:rPr>
              <w:t>¾</w:t>
            </w:r>
          </w:p>
        </w:tc>
      </w:tr>
      <w:tr>
        <w:trPr/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кВт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Подключение от существующей сети</w:t>
            </w:r>
          </w:p>
        </w:tc>
      </w:tr>
      <w:tr>
        <w:trPr/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3/</w:t>
            </w:r>
            <w:r>
              <w:rPr>
                <w:sz w:val="22"/>
              </w:rPr>
              <w:t>год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Канализация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3/</w:t>
            </w:r>
            <w:r>
              <w:rPr>
                <w:sz w:val="22"/>
              </w:rPr>
              <w:t>год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Локальная сеть</w:t>
            </w:r>
          </w:p>
        </w:tc>
      </w:tr>
      <w:tr>
        <w:trPr/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Очистные сооружения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3/</w:t>
            </w:r>
            <w:r>
              <w:rPr>
                <w:sz w:val="22"/>
              </w:rPr>
              <w:t>год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Symbol" w:hAnsi="Symbol"/>
                <w:sz w:val="22"/>
              </w:rPr>
              <w:t>¾</w:t>
            </w:r>
          </w:p>
        </w:tc>
      </w:tr>
      <w:tr>
        <w:trPr/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Котельные установки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кВт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Symbol" w:hAnsi="Symbol"/>
                <w:sz w:val="22"/>
              </w:rPr>
              <w:t>¾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Symbol" w:hAnsi="Symbol"/>
                <w:sz w:val="22"/>
              </w:rPr>
              <w:t>¾</w:t>
            </w:r>
          </w:p>
        </w:tc>
      </w:tr>
      <w:tr>
        <w:trPr>
          <w:trHeight w:val="234" w:hRule="atLeast"/>
        </w:trPr>
        <w:tc>
          <w:tcPr>
            <w:tcW w:w="9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Основные параметры зданий и сооружений, расположенных на площадке</w:t>
            </w:r>
          </w:p>
        </w:tc>
      </w:tr>
      <w:tr>
        <w:trPr>
          <w:trHeight w:val="381" w:hRule="atLeast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здания, сооружения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8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Этажность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Высота этажа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Строительный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материал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Износ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Возможность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расширения</w:t>
            </w:r>
          </w:p>
        </w:tc>
      </w:tr>
      <w:tr>
        <w:trPr>
          <w:trHeight w:val="232" w:hRule="atLeast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tbl>
      <w:tblPr>
        <w:tblStyle w:val="Style_3"/>
        <w:tblW w:w="953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>
          <w:trHeight w:val="180" w:hRule="atLeast"/>
        </w:trPr>
        <w:tc>
          <w:tcPr>
            <w:tcW w:w="9530" w:type="dxa"/>
            <w:tcBorders/>
            <w:shd w:fill="auto" w:val="clear"/>
          </w:tcPr>
          <w:p>
            <w:pPr>
              <w:pStyle w:val="Normal"/>
              <w:ind w:left="0" w:right="0" w:firstLine="612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Предложения по использованию площадки</w:t>
            </w:r>
          </w:p>
        </w:tc>
      </w:tr>
    </w:tbl>
    <w:p>
      <w:pPr>
        <w:pStyle w:val="Normal"/>
        <w:ind w:left="0" w:right="0" w:firstLine="540"/>
        <w:rPr/>
      </w:pPr>
      <w:r>
        <w:rPr/>
        <w:t xml:space="preserve">Строительство аквапарка с использованием термальной воды в Быстринском муниципальном районе (включая проектно-изыскательские работы). </w:t>
      </w:r>
    </w:p>
    <w:p>
      <w:pPr>
        <w:pStyle w:val="Normal"/>
        <w:ind w:left="0" w:right="0" w:firstLine="540"/>
        <w:rPr/>
      </w:pPr>
      <w:r>
        <w:rPr/>
        <w:t xml:space="preserve">Входит в единый комплекс с бальнеоклиматическим термальным курортом и детским санаторно-оздоровительным центром круглогодичного действия. </w:t>
      </w:r>
    </w:p>
    <w:p>
      <w:pPr>
        <w:pStyle w:val="Normal"/>
        <w:ind w:left="0" w:right="0" w:firstLine="540"/>
        <w:rPr/>
      </w:pPr>
      <w:r>
        <w:rPr/>
        <w:t xml:space="preserve">Проект решает проблему загрязнения  окружающей среды - сброса термальной воды («обратка») в реку Уксичан, впадающую в реку Быстрая. </w:t>
      </w:r>
    </w:p>
    <w:p>
      <w:pPr>
        <w:pStyle w:val="Normal"/>
        <w:ind w:left="0" w:right="0" w:firstLine="540"/>
        <w:rPr/>
      </w:pPr>
      <w:r>
        <w:rPr/>
        <w:t>Достигается экономический (рациональное использование термальных вод Эссовского месторождения) и экологический эффект.</w:t>
      </w:r>
    </w:p>
    <w:p>
      <w:pPr>
        <w:pStyle w:val="Normal"/>
        <w:ind w:left="0" w:right="0" w:firstLine="540"/>
        <w:rPr/>
      </w:pPr>
      <w:r>
        <w:rPr/>
        <w:t xml:space="preserve">Участок </w:t>
      </w:r>
      <w:r>
        <w:rPr/>
        <w:t>для развития</w:t>
      </w:r>
      <w:r>
        <w:rPr/>
        <w:t xml:space="preserve"> туристско-рекреационного </w:t>
      </w:r>
      <w:r>
        <w:rPr/>
        <w:t>кластера - «Быстринской туристической зоны»</w:t>
      </w:r>
      <w:r>
        <w:rPr/>
        <w:t>.</w:t>
      </w:r>
    </w:p>
    <w:p>
      <w:pPr>
        <w:pStyle w:val="Normal"/>
        <w:rPr/>
      </w:pPr>
      <w:r>
        <w:rPr/>
      </w:r>
    </w:p>
    <w:tbl>
      <w:tblPr>
        <w:tblStyle w:val="Style_3"/>
        <w:tblW w:w="953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>
          <w:trHeight w:val="180" w:hRule="atLeast"/>
        </w:trPr>
        <w:tc>
          <w:tcPr>
            <w:tcW w:w="9530" w:type="dxa"/>
            <w:tcBorders/>
            <w:shd w:fill="auto" w:val="clear"/>
          </w:tcPr>
          <w:p>
            <w:pPr>
              <w:pStyle w:val="Normal"/>
              <w:ind w:left="0" w:right="0" w:firstLine="612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Дополнительная информация о площадке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0" w:firstLine="540"/>
        <w:rPr/>
      </w:pPr>
      <w:r>
        <w:rPr/>
        <w:t>Возможно долевое участие бюджетов различных уровней и частных инвестиций.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51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Raghind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Raghind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12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Droid Sans Fallback" w:cs="Raghind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5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Droid Sans Fallback" w:cs="Raghind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Droid Sans Fallback" w:cs="Raghind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2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Droid Sans Fallback" w:cs="Raghind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11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Droid Sans Fallback" w:cs="Raghind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Contents6">
    <w:name w:val="Contents 6"/>
    <w:link w:val="Style_7"/>
    <w:qFormat/>
    <w:rPr>
      <w:rFonts w:ascii="XO Thames" w:hAnsi="XO Thames"/>
      <w:sz w:val="28"/>
    </w:rPr>
  </w:style>
  <w:style w:type="character" w:styleId="Contents7">
    <w:name w:val="Contents 7"/>
    <w:link w:val="Style_8"/>
    <w:qFormat/>
    <w:rPr>
      <w:rFonts w:ascii="XO Thames" w:hAnsi="XO Thames"/>
      <w:sz w:val="28"/>
    </w:rPr>
  </w:style>
  <w:style w:type="character" w:styleId="Heading3">
    <w:name w:val="Heading 3"/>
    <w:link w:val="Style_9"/>
    <w:qFormat/>
    <w:rPr>
      <w:rFonts w:ascii="XO Thames" w:hAnsi="XO Thames"/>
      <w:b/>
      <w:sz w:val="26"/>
    </w:rPr>
  </w:style>
  <w:style w:type="character" w:styleId="Contents3">
    <w:name w:val="Contents 3"/>
    <w:link w:val="Style_10"/>
    <w:qFormat/>
    <w:rPr>
      <w:rFonts w:ascii="XO Thames" w:hAnsi="XO Thames"/>
      <w:sz w:val="28"/>
    </w:rPr>
  </w:style>
  <w:style w:type="character" w:styleId="Heading5">
    <w:name w:val="Heading 5"/>
    <w:link w:val="Style_11"/>
    <w:qFormat/>
    <w:rPr>
      <w:rFonts w:ascii="XO Thames" w:hAnsi="XO Thames"/>
      <w:b/>
      <w:sz w:val="22"/>
    </w:rPr>
  </w:style>
  <w:style w:type="character" w:styleId="Heading1">
    <w:name w:val="Heading 1"/>
    <w:link w:val="Style_12"/>
    <w:qFormat/>
    <w:rPr>
      <w:rFonts w:ascii="XO Thames" w:hAnsi="XO Thames"/>
      <w:b/>
      <w:sz w:val="32"/>
    </w:rPr>
  </w:style>
  <w:style w:type="character" w:styleId="DefaultParagraphFont">
    <w:name w:val="Default Paragraph Font"/>
    <w:link w:val="Style_13"/>
    <w:qFormat/>
    <w:rPr/>
  </w:style>
  <w:style w:type="character" w:styleId="Style9">
    <w:name w:val="Интернет-ссылка"/>
    <w:link w:val="Style_14"/>
    <w:rPr>
      <w:color w:val="0000FF"/>
      <w:u w:val="single"/>
    </w:rPr>
  </w:style>
  <w:style w:type="character" w:styleId="Footnote">
    <w:name w:val="Footnote"/>
    <w:link w:val="Style_15"/>
    <w:qFormat/>
    <w:rPr>
      <w:rFonts w:ascii="XO Thames" w:hAnsi="XO Thames"/>
      <w:sz w:val="22"/>
    </w:rPr>
  </w:style>
  <w:style w:type="character" w:styleId="Contents1">
    <w:name w:val="Contents 1"/>
    <w:link w:val="Style_16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7"/>
    <w:qFormat/>
    <w:rPr>
      <w:rFonts w:ascii="XO Thames" w:hAnsi="XO Thames"/>
      <w:sz w:val="20"/>
    </w:rPr>
  </w:style>
  <w:style w:type="character" w:styleId="Contents9">
    <w:name w:val="Contents 9"/>
    <w:link w:val="Style_18"/>
    <w:qFormat/>
    <w:rPr>
      <w:rFonts w:ascii="XO Thames" w:hAnsi="XO Thames"/>
      <w:sz w:val="28"/>
    </w:rPr>
  </w:style>
  <w:style w:type="character" w:styleId="Contents8">
    <w:name w:val="Contents 8"/>
    <w:link w:val="Style_19"/>
    <w:qFormat/>
    <w:rPr>
      <w:rFonts w:ascii="XO Thames" w:hAnsi="XO Thames"/>
      <w:sz w:val="28"/>
    </w:rPr>
  </w:style>
  <w:style w:type="character" w:styleId="Contents5">
    <w:name w:val="Contents 5"/>
    <w:link w:val="Style_20"/>
    <w:qFormat/>
    <w:rPr>
      <w:rFonts w:ascii="XO Thames" w:hAnsi="XO Thames"/>
      <w:sz w:val="28"/>
    </w:rPr>
  </w:style>
  <w:style w:type="character" w:styleId="BalloonText">
    <w:name w:val="Balloon Text"/>
    <w:link w:val="Style_21"/>
    <w:qFormat/>
    <w:rPr>
      <w:rFonts w:ascii="Tahoma" w:hAnsi="Tahoma"/>
      <w:sz w:val="16"/>
    </w:rPr>
  </w:style>
  <w:style w:type="character" w:styleId="Subtitle">
    <w:name w:val="Subtitle"/>
    <w:link w:val="Style_22"/>
    <w:qFormat/>
    <w:rPr>
      <w:rFonts w:ascii="XO Thames" w:hAnsi="XO Thames"/>
      <w:i/>
      <w:sz w:val="24"/>
    </w:rPr>
  </w:style>
  <w:style w:type="character" w:styleId="Title">
    <w:name w:val="Title"/>
    <w:link w:val="Style_23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4"/>
    <w:qFormat/>
    <w:rPr>
      <w:rFonts w:ascii="XO Thames" w:hAnsi="XO Thames"/>
      <w:b/>
      <w:sz w:val="24"/>
    </w:rPr>
  </w:style>
  <w:style w:type="character" w:styleId="Heading2">
    <w:name w:val="Heading 2"/>
    <w:link w:val="Style_25"/>
    <w:qFormat/>
    <w:rPr>
      <w:rFonts w:ascii="XO Thames" w:hAnsi="XO Thames"/>
      <w:b/>
      <w:sz w:val="28"/>
    </w:rPr>
  </w:style>
  <w:style w:type="character" w:styleId="Pagenumber">
    <w:name w:val="page number"/>
    <w:basedOn w:val="DefaultParagraphFont"/>
    <w:link w:val="Style_1"/>
    <w:qFormat/>
    <w:rPr/>
  </w:style>
  <w:style w:type="character" w:styleId="Footer">
    <w:name w:val="Footer"/>
    <w:link w:val="Style_2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Raghind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Raghind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Raghind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Raghindi"/>
    </w:rPr>
  </w:style>
  <w:style w:type="paragraph" w:styleId="21">
    <w:name w:val="TOC 2"/>
    <w:next w:val="Normal"/>
    <w:link w:val="Style_5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Droid Sans Fallback" w:cs="Raghind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Droid Sans Fallback" w:cs="Raghind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Droid Sans Fallback" w:cs="Raghind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Droid Sans Fallback" w:cs="Raghind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10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Droid Sans Fallback" w:cs="Raghind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Raghind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Internet link"/>
    <w:link w:val="Style_1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Raghind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5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Droid Sans Fallback" w:cs="Raghind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6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Raghind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7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Raghind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8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Droid Sans Fallback" w:cs="Raghind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9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Droid Sans Fallback" w:cs="Raghind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20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Droid Sans Fallback" w:cs="Raghind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Style_21_ch"/>
    <w:qFormat/>
    <w:pPr/>
    <w:rPr>
      <w:rFonts w:ascii="Tahoma" w:hAnsi="Tahoma"/>
      <w:sz w:val="16"/>
    </w:rPr>
  </w:style>
  <w:style w:type="paragraph" w:styleId="Style16">
    <w:name w:val="Subtitle"/>
    <w:next w:val="Normal"/>
    <w:link w:val="Style_22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Raghind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23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Droid Sans Fallback" w:cs="Raghind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Pagenumber1">
    <w:name w:val="page number"/>
    <w:basedOn w:val="DefaultParagraphFont1"/>
    <w:link w:val="Style_1_ch"/>
    <w:qFormat/>
    <w:pPr/>
    <w:rPr/>
  </w:style>
  <w:style w:type="paragraph" w:styleId="Style18">
    <w:name w:val="Footer"/>
    <w:basedOn w:val="Normal"/>
    <w:link w:val="Style_2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Содержимое врезки"/>
    <w:basedOn w:val="Normal"/>
    <w:qFormat/>
    <w:pPr/>
    <w:rPr/>
  </w:style>
  <w:style w:type="table" w:default="1" w:styleId="Style_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LibreOffice/6.3.6.2$Linux_X86_64 LibreOffice_project/30$Build-2</Application>
  <Pages>2</Pages>
  <Words>288</Words>
  <Characters>2164</Characters>
  <CharactersWithSpaces>2380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2023-05-24T07:48:44Z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