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2" w:right="0" w:hanging="0"/>
        <w:jc w:val="center"/>
        <w:rPr/>
      </w:pPr>
      <w:bookmarkStart w:id="0" w:name="_GoBack"/>
      <w:bookmarkEnd w:id="0"/>
      <w:r>
        <w:rPr>
          <w:b/>
          <w:color w:val="000000"/>
          <w:spacing w:val="-3"/>
          <w:sz w:val="30"/>
        </w:rPr>
        <w:t>Паспорт инвестиционной площадки</w:t>
      </w:r>
      <w:r>
        <w:rPr>
          <w:b/>
          <w:bCs/>
          <w:color w:val="000000"/>
          <w:spacing w:val="-3"/>
          <w:sz w:val="30"/>
        </w:rPr>
        <w:t>*</w:t>
      </w:r>
    </w:p>
    <w:p>
      <w:pPr>
        <w:pStyle w:val="Normal"/>
        <w:ind w:left="82" w:right="0" w:hang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Строительство бальнео-климатического термального курорта </w:t>
      </w:r>
    </w:p>
    <w:p>
      <w:pPr>
        <w:pStyle w:val="Normal"/>
        <w:ind w:left="82" w:right="0" w:hanging="0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с. Эссо Быстринского муниципального района</w:t>
      </w:r>
    </w:p>
    <w:p>
      <w:pPr>
        <w:pStyle w:val="Normal"/>
        <w:ind w:left="0" w:right="0" w:hanging="0"/>
        <w:jc w:val="center"/>
        <w:rPr/>
      </w:pPr>
      <w:r>
        <w:rPr>
          <w:b w:val="false"/>
          <w:color w:val="000000"/>
          <w:spacing w:val="-1"/>
          <w:sz w:val="24"/>
        </w:rPr>
        <w:t xml:space="preserve"> </w:t>
      </w:r>
      <w:r>
        <w:rPr>
          <w:b w:val="false"/>
          <w:color w:val="000000"/>
          <w:spacing w:val="-1"/>
          <w:sz w:val="24"/>
        </w:rPr>
        <w:t>(включая проектно-изыскательские работы и создание инженерной инфраструктуры)</w:t>
      </w:r>
    </w:p>
    <w:p>
      <w:pPr>
        <w:pStyle w:val="Normal"/>
        <w:ind w:left="82" w:right="0" w:hanging="0"/>
        <w:jc w:val="center"/>
        <w:rPr/>
      </w:pPr>
      <w:r>
        <w:rPr/>
      </w:r>
    </w:p>
    <w:tbl>
      <w:tblPr>
        <w:tblStyle w:val="Style_3"/>
        <w:tblW w:w="959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75"/>
        <w:gridCol w:w="5122"/>
      </w:tblGrid>
      <w:tr>
        <w:trPr>
          <w:trHeight w:val="3180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213" w:leader="none"/>
              </w:tabs>
              <w:ind w:left="0" w:right="214" w:hanging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57785</wp:posOffset>
                  </wp:positionV>
                  <wp:extent cx="2415540" cy="1807210"/>
                  <wp:effectExtent l="0" t="0" r="0" b="0"/>
                  <wp:wrapSquare wrapText="bothSides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3" t="-34" r="-33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114935</wp:posOffset>
                  </wp:positionV>
                  <wp:extent cx="2870200" cy="1682115"/>
                  <wp:effectExtent l="0" t="0" r="0" b="0"/>
                  <wp:wrapSquare wrapText="bothSides"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9" t="-50" r="-29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66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213" w:leader="none"/>
              </w:tabs>
              <w:ind w:left="0" w:right="214" w:hanging="0"/>
              <w:rPr/>
            </w:pPr>
            <w:r>
              <w:rPr>
                <w:color w:val="000000"/>
                <w:spacing w:val="-2"/>
                <w:sz w:val="24"/>
              </w:rPr>
              <w:t xml:space="preserve">Муниципальный район </w:t>
            </w:r>
          </w:p>
          <w:p>
            <w:pPr>
              <w:pStyle w:val="Normal"/>
              <w:tabs>
                <w:tab w:val="clear" w:pos="709"/>
                <w:tab w:val="left" w:pos="4213" w:leader="none"/>
              </w:tabs>
              <w:ind w:left="0" w:right="214" w:hanging="0"/>
              <w:rPr/>
            </w:pPr>
            <w:r>
              <w:rPr>
                <w:color w:val="000000"/>
                <w:spacing w:val="-2"/>
                <w:sz w:val="24"/>
              </w:rPr>
              <w:t xml:space="preserve">(городской </w:t>
            </w:r>
            <w:r>
              <w:rPr>
                <w:color w:val="000000"/>
                <w:sz w:val="24"/>
              </w:rPr>
              <w:t>округ)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 xml:space="preserve">Быстринский муниципальный район </w:t>
            </w:r>
          </w:p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Камчатского края</w:t>
            </w:r>
          </w:p>
        </w:tc>
      </w:tr>
      <w:tr>
        <w:trPr>
          <w:trHeight w:val="28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</w:rPr>
              <w:t>Название площадки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2160" w:leader="none"/>
                <w:tab w:val="left" w:pos="2912" w:leader="none"/>
              </w:tabs>
              <w:spacing w:before="0" w:after="0"/>
              <w:rPr/>
            </w:pPr>
            <w:r>
              <w:rPr>
                <w:i/>
                <w:sz w:val="23"/>
              </w:rPr>
              <w:t>Бальнеоклиматический термальный курорт</w:t>
            </w:r>
          </w:p>
        </w:tc>
      </w:tr>
      <w:tr>
        <w:trPr>
          <w:trHeight w:val="28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z w:val="24"/>
              </w:rPr>
              <w:t>Тип площадки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Новое строительство</w:t>
            </w:r>
          </w:p>
        </w:tc>
      </w:tr>
      <w:tr>
        <w:trPr>
          <w:trHeight w:val="4093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z w:val="24"/>
              </w:rPr>
              <w:t>Описание площадки</w:t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Style26"/>
              <w:spacing w:before="0" w:after="0"/>
              <w:ind w:left="10" w:right="0" w:hanging="0"/>
              <w:rPr>
                <w:i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</w:r>
          </w:p>
          <w:p>
            <w:pPr>
              <w:pStyle w:val="Style26"/>
              <w:spacing w:before="0" w:after="0"/>
              <w:ind w:left="10" w:right="0" w:hanging="0"/>
              <w:rPr>
                <w:i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3"/>
              </w:rPr>
              <w:t>Земельный участок расположен на западе с. Эссо.  Рельеф участка сложный и ровный, имеются возвышенности и распадки, перепад высоты 7-8 м., участок частично заболочен. Растительность - редколесье лиственных пород и лиственницы; кочкарник с кустиками карликовой берёзы и др. кустарник, а так же травянистая растительность. Грунт суглинистый, подстилающий горизонт - крупнозернистый гравий; глубина залегания грунтовых вод не изучена. Направление ветров – западное, инженерные сети отсутствуют, подъездных путей нет. В пределах предложенного земельного участка (на берегу р.Уксичан) имеются геотермальные источники.</w:t>
            </w:r>
          </w:p>
        </w:tc>
      </w:tr>
      <w:tr>
        <w:trPr>
          <w:trHeight w:val="283" w:hRule="exact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pacing w:val="-2"/>
                <w:sz w:val="24"/>
              </w:rPr>
              <w:t>Основные сведения о площадке</w:t>
            </w:r>
          </w:p>
        </w:tc>
      </w:tr>
      <w:tr>
        <w:trPr>
          <w:trHeight w:val="57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pacing w:val="-2"/>
                <w:sz w:val="24"/>
              </w:rPr>
              <w:t>Предприятие (организация) - владелец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 xml:space="preserve">Администрация </w:t>
            </w:r>
          </w:p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Быстринского муниципального района</w:t>
            </w:r>
          </w:p>
        </w:tc>
      </w:tr>
      <w:tr>
        <w:trPr>
          <w:trHeight w:val="450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4"/>
              </w:rPr>
              <w:t>Юридический адрес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684350, ул.Терешковой 1, с.Эссо</w:t>
            </w:r>
          </w:p>
        </w:tc>
      </w:tr>
      <w:tr>
        <w:trPr>
          <w:trHeight w:val="675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4"/>
              </w:rPr>
              <w:t>Контактное лицо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Глава  Быстринского муниципального района  Вьюнов Анатолий Владимирович</w:t>
            </w:r>
          </w:p>
        </w:tc>
      </w:tr>
      <w:tr>
        <w:trPr>
          <w:trHeight w:val="603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pacing w:val="-2"/>
                <w:sz w:val="24"/>
              </w:rPr>
              <w:t>Телефон, эл. почта контактного лица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Тел.: 8 (41542) 21-254, Факс 21-330; admesso@yandex.ru</w:t>
            </w:r>
          </w:p>
        </w:tc>
      </w:tr>
      <w:tr>
        <w:trPr>
          <w:trHeight w:val="2160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5" w:right="0" w:hanging="0"/>
              <w:rPr/>
            </w:pPr>
            <w:r>
              <w:rPr>
                <w:color w:val="000000"/>
                <w:spacing w:val="-2"/>
                <w:sz w:val="24"/>
              </w:rPr>
              <w:t>Адрес места расположения площадки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Место для строительства курорта расположено рядом с выходом источников, которые уже используются в качестве лечения жителями и гостями Эссо. Известные Уксичанские источники занесены в справочники и книги по рекреационным ресурсам Камчатского края. Участок расположен в границах земель юго-западной части с. Эссо по правому берегу р. Уксичан.</w:t>
            </w:r>
          </w:p>
        </w:tc>
      </w:tr>
      <w:tr>
        <w:trPr>
          <w:trHeight w:val="28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</w:rPr>
              <w:t>Площадь (кв. м)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3"/>
              </w:rPr>
              <w:t>60 га.</w:t>
            </w:r>
          </w:p>
        </w:tc>
      </w:tr>
      <w:tr>
        <w:trPr>
          <w:trHeight w:val="562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0" w:right="614" w:hanging="0"/>
              <w:rPr/>
            </w:pPr>
            <w:r>
              <w:rPr>
                <w:color w:val="000000"/>
                <w:spacing w:val="-2"/>
                <w:sz w:val="24"/>
              </w:rPr>
              <w:t xml:space="preserve">Вид права владения землей или вид </w:t>
            </w:r>
            <w:r>
              <w:rPr>
                <w:color w:val="000000"/>
                <w:sz w:val="24"/>
              </w:rPr>
              <w:t>собственности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 xml:space="preserve">Муниципальная собственность, </w:t>
            </w:r>
          </w:p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земли поселений</w:t>
            </w:r>
          </w:p>
        </w:tc>
      </w:tr>
      <w:tr>
        <w:trPr>
          <w:trHeight w:val="28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</w:rPr>
              <w:t>Возможность расширения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имеется</w:t>
            </w:r>
          </w:p>
        </w:tc>
      </w:tr>
      <w:tr>
        <w:trPr>
          <w:trHeight w:val="562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0" w:right="5" w:hanging="0"/>
              <w:rPr/>
            </w:pPr>
            <w:r>
              <w:rPr>
                <w:color w:val="000000"/>
                <w:spacing w:val="-2"/>
                <w:sz w:val="24"/>
              </w:rPr>
              <w:t xml:space="preserve">Близлежащие производственные объекты </w:t>
            </w:r>
            <w:r>
              <w:rPr>
                <w:color w:val="000000"/>
                <w:sz w:val="24"/>
              </w:rPr>
              <w:t>и расстояние до них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pacing w:val="-2"/>
                <w:sz w:val="24"/>
              </w:rPr>
              <w:t>Расстояние до ближайших жилых домов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i/>
                <w:sz w:val="23"/>
              </w:rPr>
              <w:t>550 м.</w:t>
            </w:r>
          </w:p>
        </w:tc>
      </w:tr>
      <w:tr>
        <w:trPr>
          <w:trHeight w:val="28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z w:val="24"/>
              </w:rPr>
              <w:t>Ограничения (обременения)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отсутствуют</w:t>
            </w:r>
          </w:p>
        </w:tc>
      </w:tr>
      <w:tr>
        <w:trPr>
          <w:trHeight w:val="469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4"/>
              </w:rPr>
              <w:t>Категория земель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Земли населённых пунктов</w:t>
            </w:r>
          </w:p>
        </w:tc>
      </w:tr>
      <w:tr>
        <w:trPr>
          <w:trHeight w:val="213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14" w:hanging="0"/>
              <w:rPr/>
            </w:pPr>
            <w:r>
              <w:rPr>
                <w:color w:val="000000"/>
                <w:sz w:val="24"/>
              </w:rPr>
              <w:t>Предполагаемое разрешенное использование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В пределах территории расположен земельный участок пожизненно наследуемого владения (частная собственность), площадью 12 га.</w:t>
            </w:r>
          </w:p>
          <w:p>
            <w:pPr>
              <w:pStyle w:val="Normal"/>
              <w:spacing w:before="0" w:after="0"/>
              <w:rPr/>
            </w:pPr>
            <w:r>
              <w:rPr>
                <w:i/>
                <w:sz w:val="23"/>
              </w:rPr>
              <w:t>Граница участка проходит по земле пожизненно-наследованного владения (ведение личного подсобного хозяйства). Имеются участки, предназначенные для жилищного строительства и огородничества.</w:t>
            </w:r>
          </w:p>
        </w:tc>
      </w:tr>
      <w:tr>
        <w:trPr>
          <w:trHeight w:val="620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0" w:right="48" w:firstLine="10"/>
              <w:rPr/>
            </w:pPr>
            <w:r>
              <w:rPr>
                <w:color w:val="000000"/>
                <w:spacing w:val="-3"/>
                <w:sz w:val="24"/>
              </w:rPr>
              <w:t xml:space="preserve">Орган, осуществляющий предоставление </w:t>
            </w:r>
            <w:r>
              <w:rPr>
                <w:color w:val="000000"/>
                <w:sz w:val="24"/>
              </w:rPr>
              <w:t>земельного участка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Комитет по управлению муниципальным имуществом Быстринского района</w:t>
            </w:r>
          </w:p>
        </w:tc>
      </w:tr>
      <w:tr>
        <w:trPr>
          <w:trHeight w:val="33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</w:rPr>
              <w:t>Кадастровый номер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0" w:right="110" w:hanging="0"/>
              <w:rPr/>
            </w:pPr>
            <w:r>
              <w:rPr>
                <w:color w:val="000000"/>
                <w:spacing w:val="-2"/>
                <w:sz w:val="24"/>
              </w:rPr>
              <w:t>Наличие санитарно-защитных/</w:t>
            </w:r>
          </w:p>
          <w:p>
            <w:pPr>
              <w:pStyle w:val="Normal"/>
              <w:ind w:left="0" w:right="110" w:hanging="0"/>
              <w:rPr/>
            </w:pPr>
            <w:r>
              <w:rPr>
                <w:color w:val="000000"/>
                <w:spacing w:val="-2"/>
                <w:sz w:val="24"/>
              </w:rPr>
              <w:t xml:space="preserve">охранных </w:t>
            </w:r>
            <w:r>
              <w:rPr>
                <w:color w:val="000000"/>
                <w:sz w:val="24"/>
              </w:rPr>
              <w:t>зон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селитебная зона</w:t>
            </w:r>
          </w:p>
        </w:tc>
      </w:tr>
      <w:tr>
        <w:trPr>
          <w:trHeight w:val="692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0" w:right="605" w:hanging="0"/>
              <w:rPr/>
            </w:pPr>
            <w:r>
              <w:rPr>
                <w:color w:val="000000"/>
                <w:spacing w:val="-2"/>
                <w:sz w:val="24"/>
              </w:rPr>
              <w:t xml:space="preserve">Наличие транспортных подъездных </w:t>
            </w:r>
            <w:r>
              <w:rPr>
                <w:color w:val="000000"/>
                <w:sz w:val="24"/>
              </w:rPr>
              <w:t>путей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i/>
                <w:sz w:val="23"/>
              </w:rPr>
              <w:t>Подъездные пути сельские, к участку проложена грунтовая дорога (тупиковый подъезд)</w:t>
            </w:r>
          </w:p>
        </w:tc>
      </w:tr>
      <w:tr>
        <w:trPr>
          <w:trHeight w:val="360" w:hRule="exact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10" w:right="125" w:hanging="0"/>
              <w:jc w:val="center"/>
              <w:rPr/>
            </w:pPr>
            <w:r>
              <w:rPr>
                <w:b/>
                <w:color w:val="000000"/>
                <w:sz w:val="24"/>
              </w:rPr>
              <w:t>Удаленность участка (в км.) от:</w:t>
            </w:r>
          </w:p>
        </w:tc>
      </w:tr>
      <w:tr>
        <w:trPr>
          <w:trHeight w:val="56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0" w:right="125" w:hanging="0"/>
              <w:rPr/>
            </w:pPr>
            <w:r>
              <w:rPr>
                <w:color w:val="000000"/>
                <w:spacing w:val="-2"/>
                <w:sz w:val="24"/>
              </w:rPr>
              <w:t xml:space="preserve">центра субъекта Российской Федерации, </w:t>
            </w:r>
            <w:r>
              <w:rPr>
                <w:color w:val="000000"/>
                <w:sz w:val="24"/>
              </w:rPr>
              <w:t>в котором находится площадка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 xml:space="preserve">г. Петропавловск-Камчатский - 520 км </w:t>
            </w:r>
          </w:p>
        </w:tc>
      </w:tr>
      <w:tr>
        <w:trPr>
          <w:trHeight w:val="1003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418" w:firstLine="10"/>
              <w:rPr/>
            </w:pPr>
            <w:r>
              <w:rPr>
                <w:color w:val="000000"/>
                <w:spacing w:val="-2"/>
                <w:sz w:val="24"/>
              </w:rPr>
              <w:t xml:space="preserve">центра другого ближайшего субъекта </w:t>
            </w:r>
            <w:r>
              <w:rPr>
                <w:color w:val="000000"/>
                <w:sz w:val="24"/>
              </w:rPr>
              <w:t>Российской Федерации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Сообщение с населенными пунктами Корякского автономного округа осуществляется по автозимнику продленного действия Анавгай – Тигиль</w:t>
            </w:r>
          </w:p>
        </w:tc>
      </w:tr>
      <w:tr>
        <w:trPr>
          <w:trHeight w:val="2195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z w:val="24"/>
              </w:rPr>
              <w:t>ближайшего города</w:t>
            </w:r>
          </w:p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2320925" cy="1129665"/>
                  <wp:effectExtent l="0" t="0" r="0" b="0"/>
                  <wp:wrapSquare wrapText="bothSides"/>
                  <wp:docPr id="3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22" r="-15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2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 xml:space="preserve">от с. Эссо до с. Мильково: </w:t>
            </w:r>
          </w:p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69 км. участок Крапивная-Эссо до трассы г. Петропавловск-Камчатский – Миьково-Усть-Камчатский + 153 км . От “развилки” до с. Мильково= 222 км.</w:t>
            </w:r>
          </w:p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от с. Эссо до с. Анавгай составляет 26 км</w:t>
            </w:r>
          </w:p>
        </w:tc>
      </w:tr>
      <w:tr>
        <w:trPr>
          <w:trHeight w:val="288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z w:val="24"/>
              </w:rPr>
              <w:t>автодороги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1 км.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z w:val="24"/>
              </w:rPr>
              <w:t>аэропорта</w:t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ind w:left="1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1 км.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ind w:left="10" w:right="0" w:hanging="0"/>
              <w:rPr/>
            </w:pPr>
            <w:r>
              <w:rPr>
                <w:color w:val="000000"/>
                <w:sz w:val="24"/>
              </w:rPr>
              <w:t>морского порта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6"/>
              <w:spacing w:before="0" w:after="0"/>
              <w:rPr/>
            </w:pPr>
            <w:r>
              <w:rPr>
                <w:i/>
                <w:sz w:val="22"/>
              </w:rPr>
              <w:t>Выхода к морю нет</w:t>
            </w:r>
          </w:p>
        </w:tc>
      </w:tr>
      <w:tr>
        <w:trPr>
          <w:trHeight w:val="302" w:hRule="exact"/>
        </w:trPr>
        <w:tc>
          <w:tcPr>
            <w:tcW w:w="9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right="38" w:hanging="0"/>
              <w:jc w:val="center"/>
              <w:rPr/>
            </w:pPr>
            <w:r>
              <w:rPr>
                <w:b/>
                <w:color w:val="000000"/>
                <w:spacing w:val="-2"/>
                <w:sz w:val="24"/>
              </w:rPr>
              <w:t>Характеристика инфраструктуры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газ (куб.м./час)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widowControl/>
              <w:bidi w:val="0"/>
              <w:spacing w:lineRule="auto" w:line="240" w:before="0" w:after="0"/>
              <w:ind w:left="0" w:right="0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отопление (Гкал/час)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Необходимо бурение скважины (геотермальное)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Пар (бар)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widowControl/>
              <w:bidi w:val="0"/>
              <w:spacing w:lineRule="auto" w:line="240" w:before="0" w:after="0"/>
              <w:ind w:left="0" w:right="0" w:firstLine="5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электроэнергия (кВт/час)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В, 60 Квт</w:t>
            </w:r>
          </w:p>
        </w:tc>
      </w:tr>
      <w:tr>
        <w:trPr>
          <w:trHeight w:val="626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водоснабжение (куб.м./год)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Протекает река Уксичан (горная, чистая вода) – 100 м.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водоотведение (куб.м./год)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widowControl/>
              <w:bidi w:val="0"/>
              <w:spacing w:lineRule="auto" w:line="240" w:before="0" w:after="0"/>
              <w:ind w:left="0" w:right="0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очистные сооружения (куб.м./год)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Требуется построить локальную (септики)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котельные установки (кВт)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widowControl/>
              <w:bidi w:val="0"/>
              <w:spacing w:lineRule="auto" w:line="240" w:before="0" w:after="0"/>
              <w:ind w:left="0" w:right="0" w:firstLine="5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9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787" w:right="0" w:hanging="0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Основные параметры зданий и сооружений, расположенные на площадке</w:t>
            </w:r>
          </w:p>
        </w:tc>
      </w:tr>
      <w:tr>
        <w:trPr>
          <w:trHeight w:val="675" w:hRule="exact"/>
        </w:trPr>
        <w:tc>
          <w:tcPr>
            <w:tcW w:w="9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1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 на территории имеются:</w:t>
            </w:r>
          </w:p>
          <w:p>
            <w:pPr>
              <w:pStyle w:val="Normal"/>
              <w:ind w:left="1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(Административное здание, хозяйственное здание, котельная, гараж, насосная и т.д.)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этажность (ед.)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высота этажа (м.)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износ (%)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2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Возможность расширения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76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Предложения по использованию площадки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94" w:leader="none"/>
              </w:tabs>
              <w:bidi w:val="0"/>
              <w:spacing w:lineRule="auto" w:line="240" w:before="0" w:after="0"/>
              <w:ind w:left="0" w:right="0" w:firstLine="113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Участок является составной частью проекта «Создания Туристско-рекреационного кластера в с. Эссо Быстринского муниципального района» в качестве отдельного инвестиционного проекта  «Строительство бальнеоклиматического термального курорта в Быстринском муниципальном районе, включая проектно-изыскательские работы» (правый берег р.Уксичан). Участок рассматривается вместе с инвестиционными проектами "Строительство детского санаторно-оздоровительного центра круглогодичного действия в с. Эссо" (левый берег р.Уксичан) и " Строительство аквапарка с использованием термальной воды", составляющих ядро  туристско-рекреационного кластера. Проект решает проблему загрязнения окружающей среды - сброса термальной воды («обратка») в реку Уксичан, впадающую в реку Быстрая. Предлагается вариант государственного-частного партнерства с долевым участием бюджетов различных уровней, частных инвестиций, включая  иностранные инвестиции. </w:t>
            </w:r>
          </w:p>
        </w:tc>
      </w:tr>
      <w:tr>
        <w:trPr>
          <w:trHeight w:val="4987" w:hRule="exact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Дополнительная информация о площадке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94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2005 году сотрудниками ФГУ Томский НИИ курортологии и физиотерапии проведена «Курортологическая оценка района с. Эссо Быстринского района Камчатской области для признания территории лечебно-оздоровительной местностью. Проведенная оценка качества биоклиматических ресурсов на основе медико-климатической оценки и унифицированных методик категорирования климата позволяет отнести юго-западную часть Эссовского сельского поселения к лечебно-оздоровительным местностям 2 ранга – благоприятных для рекреации и сезонного климатолечения, профиль – климатобальнеологический, познавательно- туристический. Томским НИИ курортологии и физиотерапии разработано 8 (восемь) бальнеологических заключений.</w:t>
            </w:r>
          </w:p>
        </w:tc>
      </w:tr>
    </w:tbl>
    <w:p>
      <w:pPr>
        <w:pStyle w:val="Normal"/>
        <w:ind w:left="82" w:right="0" w:hanging="0"/>
        <w:jc w:val="center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</w:r>
    </w:p>
    <w:p>
      <w:pPr>
        <w:pStyle w:val="Normal"/>
        <w:tabs>
          <w:tab w:val="clear" w:pos="709"/>
          <w:tab w:val="left" w:pos="494" w:leader="none"/>
        </w:tabs>
        <w:ind w:left="0" w:right="0" w:hanging="0"/>
        <w:rPr/>
      </w:pPr>
      <w:r>
        <w:rPr>
          <w:color w:val="000000"/>
          <w:spacing w:val="-2"/>
          <w:sz w:val="20"/>
          <w:szCs w:val="20"/>
        </w:rPr>
        <w:t>* Инвестиционная   площадка   -   свободный  земельный   участок,   участок   с   объектами незавершенного строительства, участок с неиспользуемыми зданиями и сооружениями.</w:t>
      </w:r>
    </w:p>
    <w:sectPr>
      <w:type w:val="nextPage"/>
      <w:pgSz w:w="11906" w:h="16838"/>
      <w:pgMar w:left="1134" w:right="1134" w:header="0" w:top="851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ucida Grande CY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next w:val="Normal"/>
    <w:link w:val="Style_2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Droid Sans Fallback" w:cs="DejaVu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5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Droid Sans Fallback" w:cs="DejaVu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4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Droid Sans Fallback" w:cs="DejaVu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2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Droid Sans Fallback" w:cs="DejaVu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AbsatzStandardschriftart11">
    <w:name w:val="WW-Absatz-Standardschriftart11"/>
    <w:link w:val="Style_6"/>
    <w:qFormat/>
    <w:rPr/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WWAbsatzStandardschriftart">
    <w:name w:val="WW-Absatz-Standardschriftart"/>
    <w:link w:val="Style_9"/>
    <w:qFormat/>
    <w:rPr/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Contents7">
    <w:name w:val="Contents 7"/>
    <w:link w:val="Style_11"/>
    <w:qFormat/>
    <w:rPr>
      <w:rFonts w:ascii="XO Thames" w:hAnsi="XO Thames"/>
      <w:sz w:val="28"/>
    </w:rPr>
  </w:style>
  <w:style w:type="character" w:styleId="Style9">
    <w:name w:val="Текст выноски Знак"/>
    <w:basedOn w:val="DefaultParagraphFont0"/>
    <w:link w:val="Style_12"/>
    <w:qFormat/>
    <w:rPr/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WW">
    <w:name w:val="WW-Символы концевой сноски"/>
    <w:link w:val="Style_15"/>
    <w:qFormat/>
    <w:rPr/>
  </w:style>
  <w:style w:type="character" w:styleId="Style10">
    <w:name w:val="Схема документа"/>
    <w:link w:val="Style_16"/>
    <w:qFormat/>
    <w:rPr>
      <w:rFonts w:ascii="Lucida Grande CY" w:hAnsi="Lucida Grande CY"/>
      <w:sz w:val="24"/>
    </w:rPr>
  </w:style>
  <w:style w:type="character" w:styleId="Style11">
    <w:name w:val="Символ концевой сноски"/>
    <w:link w:val="Style_17"/>
    <w:qFormat/>
    <w:rPr>
      <w:vertAlign w:val="superscript"/>
    </w:rPr>
  </w:style>
  <w:style w:type="character" w:styleId="Textbody">
    <w:name w:val="Text body"/>
    <w:link w:val="Style_4"/>
    <w:qFormat/>
    <w:rPr/>
  </w:style>
  <w:style w:type="character" w:styleId="WWAbsatzStandardschriftart111">
    <w:name w:val="WW-Absatz-Standardschriftart111"/>
    <w:link w:val="Style_18"/>
    <w:qFormat/>
    <w:rPr/>
  </w:style>
  <w:style w:type="character" w:styleId="Style12">
    <w:name w:val="Указатель"/>
    <w:link w:val="Style_19"/>
    <w:qFormat/>
    <w:rPr/>
  </w:style>
  <w:style w:type="character" w:styleId="Style13">
    <w:name w:val="Основной шрифт"/>
    <w:link w:val="Style_20"/>
    <w:qFormat/>
    <w:rPr/>
  </w:style>
  <w:style w:type="character" w:styleId="BalloonText">
    <w:name w:val="Balloon Text"/>
    <w:link w:val="Style_21"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link w:val="Style_2"/>
    <w:qFormat/>
    <w:rPr>
      <w:vertAlign w:val="superscript"/>
    </w:rPr>
  </w:style>
  <w:style w:type="character" w:styleId="Contents3">
    <w:name w:val="Contents 3"/>
    <w:link w:val="Style_22"/>
    <w:qFormat/>
    <w:rPr>
      <w:rFonts w:ascii="XO Thames" w:hAnsi="XO Thames"/>
      <w:sz w:val="28"/>
    </w:rPr>
  </w:style>
  <w:style w:type="character" w:styleId="Style15">
    <w:name w:val="Символы концевой сноски"/>
    <w:link w:val="Style_23"/>
    <w:qFormat/>
    <w:rPr>
      <w:vertAlign w:val="superscript"/>
    </w:rPr>
  </w:style>
  <w:style w:type="character" w:styleId="WWAbsatzStandardschriftart1">
    <w:name w:val="WW-Absatz-Standardschriftart1"/>
    <w:link w:val="Style_24"/>
    <w:qFormat/>
    <w:rPr/>
  </w:style>
  <w:style w:type="character" w:styleId="DefaultParagraphFont0">
    <w:name w:val="Default Paragraph Font_0"/>
    <w:link w:val="Style_13"/>
    <w:qFormat/>
    <w:rPr/>
  </w:style>
  <w:style w:type="character" w:styleId="Caption">
    <w:name w:val="caption"/>
    <w:link w:val="Style_25"/>
    <w:qFormat/>
    <w:rPr>
      <w:i/>
      <w:sz w:val="24"/>
    </w:rPr>
  </w:style>
  <w:style w:type="character" w:styleId="Heading5">
    <w:name w:val="Heading 5"/>
    <w:link w:val="Style_26"/>
    <w:qFormat/>
    <w:rPr>
      <w:rFonts w:ascii="XO Thames" w:hAnsi="XO Thames"/>
      <w:b/>
      <w:sz w:val="22"/>
    </w:rPr>
  </w:style>
  <w:style w:type="character" w:styleId="WWAbsatzStandardschriftart1111">
    <w:name w:val="WW-Absatz-Standardschriftart1111"/>
    <w:link w:val="Style_27"/>
    <w:qFormat/>
    <w:rPr/>
  </w:style>
  <w:style w:type="character" w:styleId="Heading1">
    <w:name w:val="Heading 1"/>
    <w:link w:val="Style_28"/>
    <w:qFormat/>
    <w:rPr>
      <w:rFonts w:ascii="XO Thames" w:hAnsi="XO Thames"/>
      <w:b/>
      <w:sz w:val="32"/>
    </w:rPr>
  </w:style>
  <w:style w:type="character" w:styleId="Style16">
    <w:name w:val="Содержимое таблицы"/>
    <w:link w:val="Style_29"/>
    <w:qFormat/>
    <w:rPr/>
  </w:style>
  <w:style w:type="character" w:styleId="AbsatzStandardschriftart">
    <w:name w:val="Absatz-Standardschriftart"/>
    <w:link w:val="Style_30"/>
    <w:qFormat/>
    <w:rPr/>
  </w:style>
  <w:style w:type="character" w:styleId="Style17">
    <w:name w:val="Заголовок"/>
    <w:link w:val="Style_31"/>
    <w:qFormat/>
    <w:rPr>
      <w:rFonts w:ascii="Arial" w:hAnsi="Arial"/>
      <w:sz w:val="28"/>
    </w:rPr>
  </w:style>
  <w:style w:type="character" w:styleId="Style18">
    <w:name w:val="Заголовок таблицы"/>
    <w:basedOn w:val="Style16"/>
    <w:link w:val="Style_32"/>
    <w:qFormat/>
    <w:rPr>
      <w:b/>
    </w:rPr>
  </w:style>
  <w:style w:type="character" w:styleId="Style19">
    <w:name w:val="Интернет-ссылка"/>
    <w:link w:val="Style_33"/>
    <w:rPr>
      <w:color w:val="0000FF"/>
      <w:u w:val="single"/>
    </w:rPr>
  </w:style>
  <w:style w:type="character" w:styleId="Footnote">
    <w:name w:val="Footnote"/>
    <w:link w:val="Style_34"/>
    <w:qFormat/>
    <w:rPr>
      <w:sz w:val="20"/>
    </w:rPr>
  </w:style>
  <w:style w:type="character" w:styleId="Style20">
    <w:name w:val="Знак сноски"/>
    <w:link w:val="Style_1"/>
    <w:qFormat/>
    <w:rPr>
      <w:vertAlign w:val="superscript"/>
    </w:rPr>
  </w:style>
  <w:style w:type="character" w:styleId="Contents1">
    <w:name w:val="Contents 1"/>
    <w:link w:val="Style_35"/>
    <w:qFormat/>
    <w:rPr>
      <w:rFonts w:ascii="XO Thames" w:hAnsi="XO Thames"/>
      <w:b/>
      <w:sz w:val="28"/>
    </w:rPr>
  </w:style>
  <w:style w:type="character" w:styleId="HeaderandFooter">
    <w:name w:val="Header and Footer"/>
    <w:link w:val="Style_36"/>
    <w:qFormat/>
    <w:rPr>
      <w:rFonts w:ascii="XO Thames" w:hAnsi="XO Thames"/>
      <w:sz w:val="20"/>
    </w:rPr>
  </w:style>
  <w:style w:type="character" w:styleId="Contents9">
    <w:name w:val="Contents 9"/>
    <w:link w:val="Style_37"/>
    <w:qFormat/>
    <w:rPr>
      <w:rFonts w:ascii="XO Thames" w:hAnsi="XO Thames"/>
      <w:sz w:val="28"/>
    </w:rPr>
  </w:style>
  <w:style w:type="character" w:styleId="Contents8">
    <w:name w:val="Contents 8"/>
    <w:link w:val="Style_38"/>
    <w:qFormat/>
    <w:rPr>
      <w:rFonts w:ascii="XO Thames" w:hAnsi="XO Thames"/>
      <w:sz w:val="28"/>
    </w:rPr>
  </w:style>
  <w:style w:type="character" w:styleId="Style21">
    <w:name w:val="Схема документа Знак"/>
    <w:link w:val="Style_39"/>
    <w:qFormat/>
    <w:rPr>
      <w:rFonts w:ascii="Lucida Grande CY" w:hAnsi="Lucida Grande CY"/>
      <w:sz w:val="24"/>
    </w:rPr>
  </w:style>
  <w:style w:type="character" w:styleId="Contents5">
    <w:name w:val="Contents 5"/>
    <w:link w:val="Style_40"/>
    <w:qFormat/>
    <w:rPr>
      <w:rFonts w:ascii="XO Thames" w:hAnsi="XO Thames"/>
      <w:sz w:val="28"/>
    </w:rPr>
  </w:style>
  <w:style w:type="character" w:styleId="DefaultParagraphFont">
    <w:name w:val="Default Paragraph Font"/>
    <w:link w:val="Style_41"/>
    <w:qFormat/>
    <w:rPr/>
  </w:style>
  <w:style w:type="character" w:styleId="11">
    <w:name w:val="Название1"/>
    <w:link w:val="Style_42"/>
    <w:qFormat/>
    <w:rPr>
      <w:i/>
      <w:sz w:val="24"/>
    </w:rPr>
  </w:style>
  <w:style w:type="character" w:styleId="Subtitle">
    <w:name w:val="Subtitle"/>
    <w:link w:val="Style_43"/>
    <w:qFormat/>
    <w:rPr>
      <w:rFonts w:ascii="XO Thames" w:hAnsi="XO Thames"/>
      <w:i/>
      <w:sz w:val="24"/>
    </w:rPr>
  </w:style>
  <w:style w:type="character" w:styleId="Style22">
    <w:name w:val="Знак концевой сноски"/>
    <w:link w:val="Style_44"/>
    <w:qFormat/>
    <w:rPr>
      <w:vertAlign w:val="superscript"/>
    </w:rPr>
  </w:style>
  <w:style w:type="character" w:styleId="List">
    <w:name w:val="List"/>
    <w:basedOn w:val="Textbody"/>
    <w:link w:val="Style_45"/>
    <w:qFormat/>
    <w:rPr/>
  </w:style>
  <w:style w:type="character" w:styleId="Title">
    <w:name w:val="Title"/>
    <w:link w:val="Style_47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48"/>
    <w:qFormat/>
    <w:rPr>
      <w:rFonts w:ascii="XO Thames" w:hAnsi="XO Thames"/>
      <w:b/>
      <w:sz w:val="24"/>
    </w:rPr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link w:val="Style_49"/>
    <w:qFormat/>
    <w:rPr>
      <w:vertAlign w:val="superscript"/>
    </w:rPr>
  </w:style>
  <w:style w:type="character" w:styleId="Style24">
    <w:name w:val="Символ сноски"/>
    <w:link w:val="Style_50"/>
    <w:qFormat/>
    <w:rPr/>
  </w:style>
  <w:style w:type="character" w:styleId="Heading2">
    <w:name w:val="Heading 2"/>
    <w:link w:val="Style_51"/>
    <w:qFormat/>
    <w:rPr>
      <w:rFonts w:ascii="XO Thames" w:hAnsi="XO Thames"/>
      <w:b/>
      <w:sz w:val="28"/>
    </w:rPr>
  </w:style>
  <w:style w:type="paragraph" w:styleId="Style25">
    <w:name w:val="Заголовок"/>
    <w:basedOn w:val="Normal"/>
    <w:next w:val="Style26"/>
    <w:link w:val="Style_31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6">
    <w:name w:val="Body Text"/>
    <w:basedOn w:val="Normal"/>
    <w:link w:val="Style_4_ch"/>
    <w:pPr>
      <w:spacing w:before="0" w:after="120"/>
    </w:pPr>
    <w:rPr/>
  </w:style>
  <w:style w:type="paragraph" w:styleId="Style27">
    <w:name w:val="List"/>
    <w:basedOn w:val="Style26"/>
    <w:link w:val="Style_45_ch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9">
    <w:name w:val="Указатель"/>
    <w:basedOn w:val="Normal"/>
    <w:link w:val="Style_19_ch"/>
    <w:qFormat/>
    <w:pPr/>
    <w:rPr/>
  </w:style>
  <w:style w:type="paragraph" w:styleId="WWAbsatzStandardschriftart112">
    <w:name w:val="WW-Absatz-Standardschriftart11"/>
    <w:link w:val="Style_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link w:val="Style_7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2">
    <w:name w:val="WW-Absatz-Standardschriftart"/>
    <w:link w:val="Style_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10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1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Текст выноски Знак"/>
    <w:basedOn w:val="DefaultParagraphFont01"/>
    <w:link w:val="Style_12_ch"/>
    <w:qFormat/>
    <w:pPr/>
    <w:rPr/>
  </w:style>
  <w:style w:type="paragraph" w:styleId="WW1">
    <w:name w:val="WW-Символы концевой сноски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Схема документа"/>
    <w:basedOn w:val="Normal"/>
    <w:link w:val="Style_16_ch"/>
    <w:qFormat/>
    <w:pPr/>
    <w:rPr>
      <w:rFonts w:ascii="Lucida Grande CY" w:hAnsi="Lucida Grande CY"/>
      <w:sz w:val="24"/>
    </w:rPr>
  </w:style>
  <w:style w:type="paragraph" w:styleId="Style32">
    <w:name w:val="Символ концевой сноски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WWAbsatzStandardschriftart1112">
    <w:name w:val="WW-Absatz-Standardschriftart111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Основной шрифт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21_ch"/>
    <w:qFormat/>
    <w:pPr/>
    <w:rPr/>
  </w:style>
  <w:style w:type="paragraph" w:styleId="FootnoteCharacters1">
    <w:name w:val="Footnote Characters"/>
    <w:link w:val="Style_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31">
    <w:name w:val="TOC 3"/>
    <w:next w:val="Normal"/>
    <w:link w:val="Style_22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Символы концевой сноски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WWAbsatzStandardschriftart12">
    <w:name w:val="WW-Absatz-Standardschriftart1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Style_1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25_ch"/>
    <w:qFormat/>
    <w:pPr>
      <w:spacing w:before="120" w:after="120"/>
    </w:pPr>
    <w:rPr>
      <w:i/>
      <w:sz w:val="24"/>
    </w:rPr>
  </w:style>
  <w:style w:type="paragraph" w:styleId="WWAbsatzStandardschriftart11111">
    <w:name w:val="WW-Absatz-Standardschriftart1111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Содержимое таблицы"/>
    <w:basedOn w:val="Normal"/>
    <w:link w:val="Style_29_ch"/>
    <w:qFormat/>
    <w:pPr/>
    <w:rPr/>
  </w:style>
  <w:style w:type="paragraph" w:styleId="AbsatzStandardschriftart1">
    <w:name w:val="Absatz-Standardschriftart"/>
    <w:link w:val="Style_3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6">
    <w:name w:val="Заголовок таблицы"/>
    <w:basedOn w:val="Style35"/>
    <w:link w:val="Style_32_ch"/>
    <w:qFormat/>
    <w:pPr>
      <w:jc w:val="center"/>
    </w:pPr>
    <w:rPr>
      <w:b/>
    </w:rPr>
  </w:style>
  <w:style w:type="paragraph" w:styleId="Internetlink">
    <w:name w:val="Internet link"/>
    <w:link w:val="Style_3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34_ch"/>
    <w:qFormat/>
    <w:pPr>
      <w:ind w:left="283" w:right="0" w:hanging="283"/>
    </w:pPr>
    <w:rPr>
      <w:sz w:val="20"/>
    </w:rPr>
  </w:style>
  <w:style w:type="paragraph" w:styleId="Style37">
    <w:name w:val="Знак сноски"/>
    <w:link w:val="Style_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12">
    <w:name w:val="TOC 1"/>
    <w:next w:val="Normal"/>
    <w:link w:val="Style_3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8">
    <w:name w:val="Верхний и нижний колонтитулы"/>
    <w:link w:val="Style_36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3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3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9">
    <w:name w:val="Схема документа Знак"/>
    <w:link w:val="Style_3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ucida Grande CY" w:hAnsi="Lucida Grande CY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40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4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Название1"/>
    <w:basedOn w:val="Normal"/>
    <w:link w:val="Style_42_ch"/>
    <w:qFormat/>
    <w:pPr>
      <w:spacing w:before="120" w:after="120"/>
    </w:pPr>
    <w:rPr>
      <w:i/>
      <w:sz w:val="24"/>
    </w:rPr>
  </w:style>
  <w:style w:type="paragraph" w:styleId="Style40">
    <w:name w:val="Subtitle"/>
    <w:next w:val="Normal"/>
    <w:link w:val="Style_43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41">
    <w:name w:val="Знак концевой сноски"/>
    <w:link w:val="Style_4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ListLabel1">
    <w:name w:val="ListLabel 1"/>
    <w:link w:val="Style_4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2">
    <w:name w:val="Title"/>
    <w:next w:val="Normal"/>
    <w:link w:val="Style_47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Droid Sans Fallback" w:cs="DejaVu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EndnoteCharacters1">
    <w:name w:val="Endnote Characters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Style43">
    <w:name w:val="Символ сноски"/>
    <w:link w:val="Style_5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4">
    <w:name w:val="Footnote Text"/>
    <w:basedOn w:val="Normal"/>
    <w:pPr/>
    <w:rPr/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LibreOffice/6.3.6.2$Linux_X86_64 LibreOffice_project/30$Build-2</Application>
  <Pages>3</Pages>
  <Words>678</Words>
  <Characters>5188</Characters>
  <CharactersWithSpaces>5806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2022-07-13T09:41:56Z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